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附件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widowControl/>
        <w:spacing w:line="560" w:lineRule="exact"/>
        <w:ind w:right="320" w:firstLine="883" w:firstLineChars="20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武汉市第一批声明清盘退出且存量</w:t>
      </w:r>
    </w:p>
    <w:p>
      <w:pPr>
        <w:widowControl/>
        <w:spacing w:after="312" w:afterLines="100" w:line="560" w:lineRule="exact"/>
        <w:ind w:right="318" w:firstLine="883" w:firstLineChars="200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已结清P2P网贷机构名单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035"/>
        <w:gridCol w:w="6455"/>
        <w:gridCol w:w="215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所在区</w:t>
            </w:r>
          </w:p>
        </w:tc>
        <w:tc>
          <w:tcPr>
            <w:tcW w:w="227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网贷机构名称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平台简称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1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江汉区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武汉一七八投资管理有限公司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178网贷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2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江汉区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武汉好易融互联网信息服务有限公司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新富创投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3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江汉区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武汉长盈金融信息服务有限公司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长盈金融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4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武昌区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湖北皓添金融信息服务有限公司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皓添金融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5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武昌区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湖北中鑫汇银资本管理有限公司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鑫银宝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6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东湖新技术开发区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武汉恒泰财富资产管理有限公司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恒泰财富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7</w:t>
            </w:r>
          </w:p>
        </w:tc>
        <w:tc>
          <w:tcPr>
            <w:tcW w:w="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东湖新技术开发区</w:t>
            </w:r>
          </w:p>
        </w:tc>
        <w:tc>
          <w:tcPr>
            <w:tcW w:w="2277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湖北联众智横股权投资基金管理有限公司</w:t>
            </w:r>
          </w:p>
        </w:tc>
        <w:tc>
          <w:tcPr>
            <w:tcW w:w="761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18"/>
              </w:rPr>
              <w:t>爱上贷</w:t>
            </w:r>
          </w:p>
        </w:tc>
        <w:tc>
          <w:tcPr>
            <w:tcW w:w="787" w:type="pct"/>
            <w:noWrap/>
            <w:vAlign w:val="center"/>
          </w:tcPr>
          <w:p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退出已清零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609E"/>
    <w:rsid w:val="2C371FD7"/>
    <w:rsid w:val="306C5550"/>
    <w:rsid w:val="4281104A"/>
    <w:rsid w:val="7FA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武汉市金融工作局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2021-04-29T07:51:00Z</dcterms:created>
  <dc:creator>阳光</dc:creator>
  <cp:lastModifiedBy>阳光</cp:lastModifiedBy>
  <dcterms:modified xsi:type="dcterms:W3CDTF">2021-06-03T03:09:27Z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C043009609DD4A7B8E0F5356FE6D5623</vt:lpwstr>
  </property>
</Properties>
</file>